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B4CDA">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湘潭新闻奖参评作品推荐表</w:t>
      </w:r>
    </w:p>
    <w:tbl>
      <w:tblPr>
        <w:tblStyle w:val="5"/>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251"/>
        <w:gridCol w:w="1302"/>
        <w:gridCol w:w="278"/>
        <w:gridCol w:w="791"/>
        <w:gridCol w:w="1440"/>
        <w:gridCol w:w="2986"/>
      </w:tblGrid>
      <w:tr w14:paraId="128D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vMerge w:val="restart"/>
            <w:tcBorders>
              <w:top w:val="single" w:color="auto" w:sz="4" w:space="0"/>
              <w:left w:val="single" w:color="auto" w:sz="4" w:space="0"/>
              <w:bottom w:val="single" w:color="auto" w:sz="4" w:space="0"/>
              <w:right w:val="single" w:color="auto" w:sz="4" w:space="0"/>
            </w:tcBorders>
            <w:noWrap/>
            <w:vAlign w:val="center"/>
          </w:tcPr>
          <w:p w14:paraId="7030DDD4">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作品标题</w:t>
            </w:r>
          </w:p>
        </w:tc>
        <w:tc>
          <w:tcPr>
            <w:tcW w:w="3622" w:type="dxa"/>
            <w:gridSpan w:val="4"/>
            <w:vMerge w:val="restart"/>
            <w:tcBorders>
              <w:top w:val="single" w:color="auto" w:sz="4" w:space="0"/>
              <w:left w:val="single" w:color="auto" w:sz="4" w:space="0"/>
              <w:bottom w:val="single" w:color="auto" w:sz="4" w:space="0"/>
              <w:right w:val="single" w:color="auto" w:sz="4" w:space="0"/>
            </w:tcBorders>
            <w:noWrap/>
            <w:vAlign w:val="center"/>
          </w:tcPr>
          <w:p w14:paraId="6F50ADE3">
            <w:pPr>
              <w:spacing w:line="260" w:lineRule="exact"/>
              <w:jc w:val="center"/>
              <w:rPr>
                <w:rFonts w:ascii="华文中宋" w:hAnsi="华文中宋" w:eastAsia="华文中宋"/>
                <w:color w:val="000000"/>
                <w:sz w:val="28"/>
                <w:szCs w:val="28"/>
              </w:rPr>
            </w:pPr>
            <w:r>
              <w:rPr>
                <w:rFonts w:hint="eastAsia" w:ascii="仿宋_GB2312" w:eastAsia="仿宋_GB2312" w:cs="仿宋_GB2312"/>
                <w:color w:val="000000"/>
                <w:szCs w:val="21"/>
              </w:rPr>
              <w:t>《“我的韶山行”研学日记》</w:t>
            </w:r>
          </w:p>
        </w:tc>
        <w:tc>
          <w:tcPr>
            <w:tcW w:w="1440" w:type="dxa"/>
            <w:tcBorders>
              <w:top w:val="single" w:color="auto" w:sz="4" w:space="0"/>
              <w:left w:val="single" w:color="auto" w:sz="4" w:space="0"/>
              <w:bottom w:val="single" w:color="auto" w:sz="4" w:space="0"/>
              <w:right w:val="single" w:color="auto" w:sz="4" w:space="0"/>
            </w:tcBorders>
            <w:noWrap/>
            <w:vAlign w:val="center"/>
          </w:tcPr>
          <w:p w14:paraId="71993698">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参评项目</w:t>
            </w:r>
          </w:p>
        </w:tc>
        <w:tc>
          <w:tcPr>
            <w:tcW w:w="2986" w:type="dxa"/>
            <w:tcBorders>
              <w:top w:val="single" w:color="auto" w:sz="4" w:space="0"/>
              <w:left w:val="single" w:color="auto" w:sz="4" w:space="0"/>
              <w:bottom w:val="single" w:color="auto" w:sz="4" w:space="0"/>
              <w:right w:val="single" w:color="auto" w:sz="4" w:space="0"/>
            </w:tcBorders>
            <w:noWrap/>
            <w:vAlign w:val="center"/>
          </w:tcPr>
          <w:p w14:paraId="5F63D5B4">
            <w:pPr>
              <w:spacing w:line="260" w:lineRule="exact"/>
              <w:jc w:val="center"/>
              <w:rPr>
                <w:rFonts w:ascii="仿宋" w:hAnsi="仿宋" w:eastAsia="仿宋" w:cs="仿宋"/>
                <w:color w:val="000000"/>
                <w:sz w:val="24"/>
              </w:rPr>
            </w:pPr>
            <w:r>
              <w:rPr>
                <w:rFonts w:hint="eastAsia" w:ascii="仿宋_GB2312" w:eastAsia="仿宋_GB2312" w:cs="仿宋_GB2312"/>
                <w:color w:val="000000"/>
                <w:szCs w:val="21"/>
              </w:rPr>
              <w:t>系列报道</w:t>
            </w:r>
          </w:p>
        </w:tc>
      </w:tr>
      <w:tr w14:paraId="1745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vMerge w:val="continue"/>
            <w:tcBorders>
              <w:top w:val="single" w:color="auto" w:sz="4" w:space="0"/>
              <w:left w:val="single" w:color="auto" w:sz="4" w:space="0"/>
              <w:bottom w:val="single" w:color="auto" w:sz="4" w:space="0"/>
              <w:right w:val="single" w:color="auto" w:sz="4" w:space="0"/>
            </w:tcBorders>
            <w:noWrap/>
            <w:vAlign w:val="center"/>
          </w:tcPr>
          <w:p w14:paraId="34D2FAB7">
            <w:pPr>
              <w:rPr>
                <w:sz w:val="20"/>
                <w:szCs w:val="20"/>
              </w:rPr>
            </w:pPr>
          </w:p>
        </w:tc>
        <w:tc>
          <w:tcPr>
            <w:tcW w:w="3622" w:type="dxa"/>
            <w:gridSpan w:val="4"/>
            <w:vMerge w:val="continue"/>
            <w:tcBorders>
              <w:top w:val="single" w:color="auto" w:sz="4" w:space="0"/>
              <w:left w:val="single" w:color="auto" w:sz="4" w:space="0"/>
              <w:bottom w:val="single" w:color="auto" w:sz="4" w:space="0"/>
              <w:right w:val="single" w:color="auto" w:sz="4" w:space="0"/>
            </w:tcBorders>
            <w:noWrap/>
            <w:vAlign w:val="center"/>
          </w:tcPr>
          <w:p w14:paraId="3E644BCF">
            <w:pPr>
              <w:rPr>
                <w:sz w:val="20"/>
                <w:szCs w:val="20"/>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605645E6">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体裁</w:t>
            </w:r>
          </w:p>
        </w:tc>
        <w:tc>
          <w:tcPr>
            <w:tcW w:w="2986" w:type="dxa"/>
            <w:tcBorders>
              <w:top w:val="single" w:color="auto" w:sz="4" w:space="0"/>
              <w:left w:val="single" w:color="auto" w:sz="4" w:space="0"/>
              <w:bottom w:val="single" w:color="auto" w:sz="4" w:space="0"/>
              <w:right w:val="single" w:color="auto" w:sz="4" w:space="0"/>
            </w:tcBorders>
            <w:noWrap/>
            <w:vAlign w:val="center"/>
          </w:tcPr>
          <w:p w14:paraId="32F8CF12">
            <w:pPr>
              <w:spacing w:line="260" w:lineRule="exact"/>
              <w:jc w:val="center"/>
              <w:rPr>
                <w:rFonts w:ascii="仿宋_GB2312" w:hAnsi="仿宋" w:eastAsia="仿宋_GB2312"/>
                <w:color w:val="000000"/>
                <w:sz w:val="28"/>
                <w:szCs w:val="28"/>
              </w:rPr>
            </w:pPr>
            <w:r>
              <w:rPr>
                <w:rFonts w:hint="eastAsia" w:ascii="仿宋_GB2312" w:eastAsia="仿宋_GB2312" w:cs="仿宋_GB2312"/>
                <w:color w:val="000000"/>
                <w:szCs w:val="21"/>
              </w:rPr>
              <w:t>新媒体系列报道</w:t>
            </w:r>
          </w:p>
        </w:tc>
      </w:tr>
      <w:tr w14:paraId="2CB0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vMerge w:val="continue"/>
            <w:tcBorders>
              <w:top w:val="single" w:color="auto" w:sz="4" w:space="0"/>
              <w:left w:val="single" w:color="auto" w:sz="4" w:space="0"/>
              <w:bottom w:val="single" w:color="auto" w:sz="4" w:space="0"/>
              <w:right w:val="single" w:color="auto" w:sz="4" w:space="0"/>
            </w:tcBorders>
            <w:noWrap/>
            <w:vAlign w:val="center"/>
          </w:tcPr>
          <w:p w14:paraId="40AA9A9A">
            <w:pPr>
              <w:rPr>
                <w:sz w:val="20"/>
                <w:szCs w:val="20"/>
              </w:rPr>
            </w:pPr>
          </w:p>
        </w:tc>
        <w:tc>
          <w:tcPr>
            <w:tcW w:w="3622" w:type="dxa"/>
            <w:gridSpan w:val="4"/>
            <w:vMerge w:val="continue"/>
            <w:tcBorders>
              <w:top w:val="single" w:color="auto" w:sz="4" w:space="0"/>
              <w:left w:val="single" w:color="auto" w:sz="4" w:space="0"/>
              <w:bottom w:val="single" w:color="auto" w:sz="4" w:space="0"/>
              <w:right w:val="single" w:color="auto" w:sz="4" w:space="0"/>
            </w:tcBorders>
            <w:noWrap/>
            <w:vAlign w:val="center"/>
          </w:tcPr>
          <w:p w14:paraId="34E1E51D">
            <w:pPr>
              <w:rPr>
                <w:sz w:val="20"/>
                <w:szCs w:val="20"/>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7D686EE1">
            <w:pPr>
              <w:spacing w:line="38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语种</w:t>
            </w:r>
          </w:p>
        </w:tc>
        <w:tc>
          <w:tcPr>
            <w:tcW w:w="2986" w:type="dxa"/>
            <w:tcBorders>
              <w:top w:val="single" w:color="auto" w:sz="4" w:space="0"/>
              <w:left w:val="single" w:color="auto" w:sz="4" w:space="0"/>
              <w:bottom w:val="single" w:color="auto" w:sz="4" w:space="0"/>
              <w:right w:val="single" w:color="auto" w:sz="4" w:space="0"/>
            </w:tcBorders>
            <w:noWrap/>
            <w:vAlign w:val="center"/>
          </w:tcPr>
          <w:p w14:paraId="2D835979">
            <w:pPr>
              <w:spacing w:line="240" w:lineRule="atLeast"/>
              <w:jc w:val="center"/>
              <w:rPr>
                <w:rFonts w:ascii="仿宋_GB2312" w:eastAsia="仿宋_GB2312"/>
                <w:color w:val="000000"/>
                <w:sz w:val="28"/>
                <w:szCs w:val="28"/>
              </w:rPr>
            </w:pPr>
            <w:r>
              <w:rPr>
                <w:rFonts w:hint="eastAsia" w:ascii="仿宋_GB2312" w:eastAsia="仿宋_GB2312" w:cs="仿宋_GB2312"/>
                <w:color w:val="000000"/>
                <w:szCs w:val="21"/>
              </w:rPr>
              <w:t>中文</w:t>
            </w:r>
          </w:p>
        </w:tc>
      </w:tr>
      <w:tr w14:paraId="64B2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2441AD9C">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作 者</w:t>
            </w:r>
          </w:p>
          <w:p w14:paraId="502F1D5E">
            <w:pPr>
              <w:spacing w:line="320" w:lineRule="exact"/>
              <w:jc w:val="center"/>
              <w:rPr>
                <w:rFonts w:ascii="华文中宋" w:hAnsi="华文中宋" w:eastAsia="华文中宋"/>
                <w:color w:val="000000"/>
                <w:sz w:val="24"/>
              </w:rPr>
            </w:pPr>
            <w:r>
              <w:rPr>
                <w:rFonts w:hint="eastAsia" w:ascii="华文中宋" w:hAnsi="华文中宋" w:eastAsia="华文中宋" w:cs="华文中宋"/>
                <w:color w:val="000000"/>
                <w:sz w:val="24"/>
              </w:rPr>
              <w:t>（主创人员）</w:t>
            </w:r>
          </w:p>
        </w:tc>
        <w:tc>
          <w:tcPr>
            <w:tcW w:w="2553" w:type="dxa"/>
            <w:gridSpan w:val="2"/>
            <w:tcBorders>
              <w:top w:val="single" w:color="auto" w:sz="4" w:space="0"/>
              <w:left w:val="single" w:color="auto" w:sz="4" w:space="0"/>
              <w:bottom w:val="single" w:color="auto" w:sz="4" w:space="0"/>
              <w:right w:val="single" w:color="auto" w:sz="4" w:space="0"/>
            </w:tcBorders>
            <w:noWrap/>
            <w:vAlign w:val="center"/>
          </w:tcPr>
          <w:p w14:paraId="520EE5F1">
            <w:pPr>
              <w:spacing w:line="260" w:lineRule="exact"/>
              <w:jc w:val="center"/>
              <w:rPr>
                <w:rFonts w:ascii="仿宋_GB2312" w:hAnsi="华文中宋" w:eastAsia="仿宋_GB2312"/>
                <w:color w:val="000000"/>
                <w:sz w:val="28"/>
                <w:szCs w:val="28"/>
              </w:rPr>
            </w:pPr>
            <w:r>
              <w:rPr>
                <w:rFonts w:hint="eastAsia" w:ascii="仿宋_GB2312" w:eastAsia="仿宋_GB2312" w:cs="仿宋_GB2312"/>
                <w:color w:val="000000"/>
                <w:szCs w:val="21"/>
              </w:rPr>
              <w:t>左媛媛   郭浩</w:t>
            </w:r>
          </w:p>
        </w:tc>
        <w:tc>
          <w:tcPr>
            <w:tcW w:w="1069" w:type="dxa"/>
            <w:gridSpan w:val="2"/>
            <w:tcBorders>
              <w:top w:val="single" w:color="auto" w:sz="4" w:space="0"/>
              <w:left w:val="single" w:color="auto" w:sz="4" w:space="0"/>
              <w:bottom w:val="single" w:color="auto" w:sz="4" w:space="0"/>
              <w:right w:val="single" w:color="auto" w:sz="4" w:space="0"/>
            </w:tcBorders>
            <w:noWrap/>
            <w:vAlign w:val="center"/>
          </w:tcPr>
          <w:p w14:paraId="3C820B40">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编辑</w:t>
            </w:r>
          </w:p>
        </w:tc>
        <w:tc>
          <w:tcPr>
            <w:tcW w:w="4426" w:type="dxa"/>
            <w:gridSpan w:val="2"/>
            <w:tcBorders>
              <w:top w:val="single" w:color="auto" w:sz="4" w:space="0"/>
              <w:left w:val="single" w:color="auto" w:sz="4" w:space="0"/>
              <w:bottom w:val="single" w:color="auto" w:sz="4" w:space="0"/>
              <w:right w:val="single" w:color="auto" w:sz="4" w:space="0"/>
            </w:tcBorders>
            <w:noWrap/>
            <w:vAlign w:val="center"/>
          </w:tcPr>
          <w:p w14:paraId="47105476">
            <w:pPr>
              <w:spacing w:line="240" w:lineRule="exact"/>
              <w:jc w:val="center"/>
              <w:rPr>
                <w:rFonts w:ascii="仿宋_GB2312" w:eastAsia="仿宋_GB2312" w:cs="仿宋_GB2312"/>
                <w:color w:val="000000"/>
                <w:szCs w:val="21"/>
              </w:rPr>
            </w:pPr>
            <w:r>
              <w:rPr>
                <w:rFonts w:hint="eastAsia" w:ascii="仿宋_GB2312" w:eastAsia="仿宋_GB2312" w:cs="仿宋_GB2312"/>
                <w:color w:val="000000"/>
                <w:szCs w:val="21"/>
              </w:rPr>
              <w:t>集体（覃磊 欧阳贺坤 刘靓 王开颜 吴东</w:t>
            </w:r>
          </w:p>
          <w:p w14:paraId="08B3C8EB">
            <w:pPr>
              <w:spacing w:line="240" w:lineRule="exact"/>
              <w:jc w:val="center"/>
              <w:rPr>
                <w:rFonts w:ascii="仿宋" w:hAnsi="仿宋" w:eastAsia="仿宋"/>
                <w:color w:val="000000"/>
                <w:sz w:val="24"/>
              </w:rPr>
            </w:pPr>
            <w:r>
              <w:rPr>
                <w:rFonts w:hint="eastAsia" w:ascii="仿宋_GB2312" w:eastAsia="仿宋_GB2312" w:cs="仿宋_GB2312"/>
                <w:color w:val="000000"/>
                <w:szCs w:val="21"/>
              </w:rPr>
              <w:t xml:space="preserve"> 周莞</w:t>
            </w:r>
            <w:r>
              <w:rPr>
                <w:rFonts w:hint="eastAsia" w:ascii="仿宋_GB2312" w:eastAsia="仿宋_GB2312" w:cs="仿宋_GB2312"/>
                <w:color w:val="000000"/>
                <w:szCs w:val="21"/>
                <w:lang w:eastAsia="zh-CN"/>
              </w:rPr>
              <w:t>琦</w:t>
            </w:r>
            <w:r>
              <w:rPr>
                <w:rFonts w:hint="eastAsia" w:ascii="仿宋_GB2312" w:eastAsia="仿宋_GB2312" w:cs="仿宋_GB2312"/>
                <w:color w:val="000000"/>
                <w:szCs w:val="21"/>
              </w:rPr>
              <w:t xml:space="preserve"> 谢茂丰 李霓 朱俊文 张继军）</w:t>
            </w:r>
          </w:p>
        </w:tc>
      </w:tr>
      <w:tr w14:paraId="3B94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3A3F9B08">
            <w:pPr>
              <w:spacing w:line="360" w:lineRule="auto"/>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原创单位</w:t>
            </w:r>
          </w:p>
        </w:tc>
        <w:tc>
          <w:tcPr>
            <w:tcW w:w="2553" w:type="dxa"/>
            <w:gridSpan w:val="2"/>
            <w:tcBorders>
              <w:top w:val="single" w:color="auto" w:sz="4" w:space="0"/>
              <w:left w:val="single" w:color="auto" w:sz="4" w:space="0"/>
              <w:bottom w:val="single" w:color="auto" w:sz="4" w:space="0"/>
              <w:right w:val="single" w:color="auto" w:sz="4" w:space="0"/>
            </w:tcBorders>
            <w:noWrap/>
            <w:vAlign w:val="center"/>
          </w:tcPr>
          <w:p w14:paraId="329A7897">
            <w:pPr>
              <w:spacing w:line="260" w:lineRule="exact"/>
              <w:jc w:val="center"/>
              <w:rPr>
                <w:rFonts w:ascii="仿宋_GB2312" w:hAnsi="仿宋" w:eastAsia="仿宋_GB2312"/>
                <w:color w:val="000000"/>
                <w:szCs w:val="21"/>
              </w:rPr>
            </w:pPr>
            <w:r>
              <w:rPr>
                <w:rFonts w:hint="eastAsia" w:ascii="仿宋_GB2312" w:eastAsia="仿宋_GB2312" w:cs="仿宋_GB2312"/>
                <w:color w:val="000000"/>
                <w:szCs w:val="21"/>
              </w:rPr>
              <w:t>韶山市融媒体中心</w:t>
            </w:r>
          </w:p>
        </w:tc>
        <w:tc>
          <w:tcPr>
            <w:tcW w:w="1069" w:type="dxa"/>
            <w:gridSpan w:val="2"/>
            <w:tcBorders>
              <w:top w:val="single" w:color="auto" w:sz="4" w:space="0"/>
              <w:left w:val="single" w:color="auto" w:sz="4" w:space="0"/>
              <w:bottom w:val="single" w:color="auto" w:sz="4" w:space="0"/>
              <w:right w:val="single" w:color="auto" w:sz="4" w:space="0"/>
            </w:tcBorders>
            <w:noWrap/>
            <w:vAlign w:val="center"/>
          </w:tcPr>
          <w:p w14:paraId="27A860BF">
            <w:pPr>
              <w:spacing w:line="40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刊播</w:t>
            </w:r>
          </w:p>
          <w:p w14:paraId="15D46DAF">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单位</w:t>
            </w:r>
          </w:p>
        </w:tc>
        <w:tc>
          <w:tcPr>
            <w:tcW w:w="4426" w:type="dxa"/>
            <w:gridSpan w:val="2"/>
            <w:tcBorders>
              <w:top w:val="single" w:color="auto" w:sz="4" w:space="0"/>
              <w:left w:val="single" w:color="auto" w:sz="4" w:space="0"/>
              <w:bottom w:val="single" w:color="auto" w:sz="4" w:space="0"/>
              <w:right w:val="single" w:color="auto" w:sz="4" w:space="0"/>
            </w:tcBorders>
            <w:noWrap/>
            <w:vAlign w:val="center"/>
          </w:tcPr>
          <w:p w14:paraId="5EE923A7">
            <w:pPr>
              <w:spacing w:line="320" w:lineRule="exact"/>
              <w:jc w:val="center"/>
              <w:rPr>
                <w:rFonts w:ascii="仿宋_GB2312" w:eastAsia="仿宋_GB2312" w:cs="仿宋_GB2312"/>
                <w:color w:val="000000"/>
                <w:szCs w:val="21"/>
              </w:rPr>
            </w:pPr>
            <w:r>
              <w:rPr>
                <w:rFonts w:hint="eastAsia" w:ascii="仿宋_GB2312" w:eastAsia="仿宋_GB2312" w:cs="仿宋_GB2312"/>
                <w:color w:val="000000"/>
                <w:szCs w:val="21"/>
              </w:rPr>
              <w:t>韶山市融媒体中心</w:t>
            </w:r>
          </w:p>
        </w:tc>
      </w:tr>
      <w:tr w14:paraId="4CCC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25142363">
            <w:pPr>
              <w:spacing w:line="44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刊播版面(</w:t>
            </w:r>
            <w:r>
              <w:rPr>
                <w:rFonts w:hint="eastAsia" w:ascii="华文中宋" w:hAnsi="华文中宋" w:eastAsia="华文中宋" w:cs="华文中宋"/>
                <w:color w:val="000000"/>
                <w:sz w:val="24"/>
              </w:rPr>
              <w:t>名称和版次)</w:t>
            </w:r>
          </w:p>
        </w:tc>
        <w:tc>
          <w:tcPr>
            <w:tcW w:w="2553" w:type="dxa"/>
            <w:gridSpan w:val="2"/>
            <w:tcBorders>
              <w:top w:val="single" w:color="auto" w:sz="4" w:space="0"/>
              <w:left w:val="single" w:color="auto" w:sz="4" w:space="0"/>
              <w:bottom w:val="single" w:color="auto" w:sz="4" w:space="0"/>
              <w:right w:val="single" w:color="auto" w:sz="4" w:space="0"/>
            </w:tcBorders>
            <w:noWrap/>
            <w:vAlign w:val="center"/>
          </w:tcPr>
          <w:p w14:paraId="3D5A3714">
            <w:pPr>
              <w:spacing w:line="220" w:lineRule="exact"/>
              <w:jc w:val="center"/>
              <w:rPr>
                <w:rFonts w:ascii="仿宋_GB2312" w:hAnsi="仿宋" w:eastAsia="仿宋_GB2312" w:cs="仿宋_GB2312"/>
                <w:color w:val="000000"/>
                <w:szCs w:val="21"/>
              </w:rPr>
            </w:pPr>
            <w:r>
              <w:rPr>
                <w:rFonts w:hint="eastAsia" w:ascii="仿宋_GB2312" w:hAnsi="仿宋" w:eastAsia="仿宋_GB2312" w:cs="仿宋_GB2312"/>
                <w:color w:val="000000"/>
                <w:szCs w:val="21"/>
              </w:rPr>
              <w:t>“韶山融媒”视频号</w:t>
            </w:r>
          </w:p>
          <w:p w14:paraId="4F8DBDF1">
            <w:pPr>
              <w:spacing w:line="220" w:lineRule="exact"/>
              <w:jc w:val="center"/>
              <w:rPr>
                <w:rFonts w:ascii="仿宋_GB2312" w:hAnsi="仿宋" w:eastAsia="仿宋_GB2312" w:cs="仿宋_GB2312"/>
                <w:color w:val="000000"/>
                <w:szCs w:val="21"/>
              </w:rPr>
            </w:pPr>
            <w:r>
              <w:rPr>
                <w:rFonts w:hint="eastAsia" w:ascii="仿宋_GB2312" w:hAnsi="仿宋" w:eastAsia="仿宋_GB2312" w:cs="仿宋_GB2312"/>
                <w:color w:val="000000"/>
                <w:szCs w:val="21"/>
              </w:rPr>
              <w:t>韶山新闻网</w:t>
            </w:r>
          </w:p>
          <w:p w14:paraId="77146E3C">
            <w:pPr>
              <w:spacing w:line="220" w:lineRule="exact"/>
              <w:jc w:val="center"/>
              <w:rPr>
                <w:rFonts w:ascii="仿宋_GB2312" w:hAnsi="仿宋" w:eastAsia="仿宋_GB2312" w:cs="仿宋_GB2312"/>
                <w:color w:val="000000"/>
                <w:szCs w:val="21"/>
              </w:rPr>
            </w:pPr>
            <w:r>
              <w:rPr>
                <w:rFonts w:hint="eastAsia" w:ascii="仿宋_GB2312" w:hAnsi="仿宋" w:eastAsia="仿宋_GB2312" w:cs="仿宋_GB2312"/>
                <w:color w:val="000000"/>
                <w:szCs w:val="21"/>
              </w:rPr>
              <w:t>“韶山红”微信公众号</w:t>
            </w:r>
          </w:p>
        </w:tc>
        <w:tc>
          <w:tcPr>
            <w:tcW w:w="1069" w:type="dxa"/>
            <w:gridSpan w:val="2"/>
            <w:tcBorders>
              <w:top w:val="single" w:color="auto" w:sz="4" w:space="0"/>
              <w:left w:val="single" w:color="auto" w:sz="4" w:space="0"/>
              <w:bottom w:val="single" w:color="auto" w:sz="4" w:space="0"/>
              <w:right w:val="single" w:color="auto" w:sz="4" w:space="0"/>
            </w:tcBorders>
            <w:noWrap/>
            <w:vAlign w:val="center"/>
          </w:tcPr>
          <w:p w14:paraId="6BFD0350">
            <w:pPr>
              <w:spacing w:line="40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刊播</w:t>
            </w:r>
          </w:p>
          <w:p w14:paraId="769EDD47">
            <w:pPr>
              <w:spacing w:line="40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日期</w:t>
            </w:r>
          </w:p>
        </w:tc>
        <w:tc>
          <w:tcPr>
            <w:tcW w:w="4426" w:type="dxa"/>
            <w:gridSpan w:val="2"/>
            <w:tcBorders>
              <w:top w:val="single" w:color="auto" w:sz="4" w:space="0"/>
              <w:left w:val="single" w:color="auto" w:sz="4" w:space="0"/>
              <w:bottom w:val="single" w:color="auto" w:sz="4" w:space="0"/>
              <w:right w:val="single" w:color="auto" w:sz="4" w:space="0"/>
            </w:tcBorders>
            <w:noWrap/>
            <w:vAlign w:val="center"/>
          </w:tcPr>
          <w:p w14:paraId="634A2AB9">
            <w:pPr>
              <w:spacing w:line="260" w:lineRule="exact"/>
              <w:jc w:val="center"/>
              <w:rPr>
                <w:rFonts w:ascii="仿宋_GB2312" w:hAnsi="仿宋" w:eastAsia="仿宋_GB2312"/>
                <w:color w:val="000000"/>
                <w:sz w:val="24"/>
              </w:rPr>
            </w:pPr>
            <w:r>
              <w:rPr>
                <w:rFonts w:hint="eastAsia" w:ascii="仿宋_GB2312" w:eastAsia="仿宋_GB2312" w:cs="仿宋_GB2312"/>
                <w:color w:val="000000"/>
                <w:szCs w:val="21"/>
              </w:rPr>
              <w:t>2024年4</w:t>
            </w:r>
            <w:r>
              <w:rPr>
                <w:rFonts w:ascii="仿宋_GB2312" w:eastAsia="仿宋_GB2312" w:cs="仿宋_GB2312"/>
                <w:color w:val="000000"/>
                <w:szCs w:val="21"/>
              </w:rPr>
              <w:t>月</w:t>
            </w:r>
            <w:r>
              <w:rPr>
                <w:rFonts w:hint="eastAsia" w:ascii="仿宋_GB2312" w:eastAsia="仿宋_GB2312" w:cs="仿宋_GB2312"/>
                <w:color w:val="000000"/>
                <w:szCs w:val="21"/>
              </w:rPr>
              <w:t>3日至2025年2月17日</w:t>
            </w:r>
          </w:p>
        </w:tc>
      </w:tr>
      <w:tr w14:paraId="7374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2" w:hRule="atLeast"/>
          <w:jc w:val="center"/>
        </w:trPr>
        <w:tc>
          <w:tcPr>
            <w:tcW w:w="2827" w:type="dxa"/>
            <w:gridSpan w:val="2"/>
            <w:tcBorders>
              <w:top w:val="single" w:color="auto" w:sz="4" w:space="0"/>
              <w:left w:val="single" w:color="auto" w:sz="4" w:space="0"/>
              <w:bottom w:val="single" w:color="auto" w:sz="4" w:space="0"/>
              <w:right w:val="single" w:color="auto" w:sz="4" w:space="0"/>
            </w:tcBorders>
            <w:noWrap/>
            <w:vAlign w:val="center"/>
          </w:tcPr>
          <w:p w14:paraId="4743FA0A">
            <w:pPr>
              <w:spacing w:line="340" w:lineRule="exact"/>
              <w:jc w:val="center"/>
              <w:rPr>
                <w:rFonts w:ascii="仿宋_GB2312" w:hAnsi="仿宋" w:eastAsia="仿宋_GB2312"/>
                <w:color w:val="000000"/>
                <w:sz w:val="24"/>
              </w:rPr>
            </w:pPr>
            <w:r>
              <w:rPr>
                <w:rFonts w:hint="eastAsia" w:ascii="华文中宋" w:hAnsi="华文中宋" w:eastAsia="华文中宋" w:cs="华文中宋"/>
                <w:color w:val="000000"/>
                <w:sz w:val="28"/>
                <w:szCs w:val="28"/>
              </w:rPr>
              <w:t>新媒体作品填报网址</w:t>
            </w:r>
          </w:p>
        </w:tc>
        <w:tc>
          <w:tcPr>
            <w:tcW w:w="6797" w:type="dxa"/>
            <w:gridSpan w:val="5"/>
            <w:tcBorders>
              <w:top w:val="single" w:color="auto" w:sz="4" w:space="0"/>
              <w:left w:val="single" w:color="auto" w:sz="4" w:space="0"/>
              <w:bottom w:val="single" w:color="auto" w:sz="4" w:space="0"/>
              <w:right w:val="single" w:color="auto" w:sz="4" w:space="0"/>
            </w:tcBorders>
            <w:noWrap/>
            <w:vAlign w:val="center"/>
          </w:tcPr>
          <w:p w14:paraId="1B5996C8">
            <w:pPr>
              <w:spacing w:line="260" w:lineRule="exact"/>
              <w:jc w:val="left"/>
              <w:rPr>
                <w:rFonts w:ascii="仿宋_GB2312" w:eastAsia="仿宋_GB2312" w:cs="仿宋_GB2312"/>
                <w:color w:val="000000"/>
                <w:szCs w:val="21"/>
              </w:rPr>
            </w:pPr>
            <w:r>
              <w:rPr>
                <w:rFonts w:hint="eastAsia" w:ascii="仿宋_GB2312" w:eastAsia="仿宋_GB2312" w:cs="仿宋_GB2312"/>
                <w:color w:val="000000"/>
                <w:szCs w:val="21"/>
              </w:rPr>
              <w:t>少年报国 正当其时——《“我的韶山行”研学日记》之求索篇</w:t>
            </w:r>
          </w:p>
          <w:p w14:paraId="25E0F120">
            <w:pPr>
              <w:spacing w:line="260" w:lineRule="exact"/>
              <w:jc w:val="left"/>
              <w:rPr>
                <w:rFonts w:ascii="仿宋_GB2312" w:eastAsia="仿宋_GB2312" w:cs="仿宋_GB2312"/>
                <w:color w:val="000000"/>
                <w:szCs w:val="21"/>
              </w:rPr>
            </w:pPr>
            <w:r>
              <w:rPr>
                <w:rFonts w:hint="eastAsia" w:ascii="仿宋_GB2312" w:eastAsia="仿宋_GB2312" w:cs="仿宋_GB2312"/>
                <w:color w:val="000000"/>
                <w:szCs w:val="21"/>
              </w:rPr>
              <w:t>https://weixin.qq.com/sph/AKaZt8R9z</w:t>
            </w:r>
            <w:bookmarkStart w:id="0" w:name="_GoBack"/>
            <w:bookmarkEnd w:id="0"/>
          </w:p>
          <w:p w14:paraId="17EB2561">
            <w:pPr>
              <w:spacing w:line="260" w:lineRule="exact"/>
              <w:jc w:val="left"/>
              <w:rPr>
                <w:rFonts w:ascii="仿宋_GB2312" w:eastAsia="仿宋_GB2312" w:cs="仿宋_GB2312"/>
                <w:color w:val="000000"/>
                <w:szCs w:val="21"/>
              </w:rPr>
            </w:pPr>
            <w:r>
              <w:rPr>
                <w:rFonts w:hint="eastAsia" w:ascii="仿宋_GB2312" w:eastAsia="仿宋_GB2312" w:cs="仿宋_GB2312"/>
                <w:color w:val="000000"/>
                <w:szCs w:val="21"/>
              </w:rPr>
              <w:t>青春脉搏 同频共振——《“我的韶山行”研学日记》之热爱篇</w:t>
            </w:r>
          </w:p>
          <w:p w14:paraId="06C4BCCC">
            <w:pPr>
              <w:spacing w:line="260" w:lineRule="exact"/>
              <w:jc w:val="left"/>
              <w:rPr>
                <w:rFonts w:ascii="仿宋_GB2312" w:eastAsia="仿宋_GB2312" w:cs="仿宋_GB2312"/>
                <w:color w:val="000000"/>
                <w:szCs w:val="21"/>
              </w:rPr>
            </w:pPr>
            <w:r>
              <w:rPr>
                <w:rFonts w:hint="eastAsia" w:ascii="仿宋_GB2312" w:eastAsia="仿宋_GB2312" w:cs="仿宋_GB2312"/>
                <w:color w:val="000000"/>
                <w:szCs w:val="21"/>
              </w:rPr>
              <w:t>https://weixin.qq.com/sph/AN1Migujf</w:t>
            </w:r>
          </w:p>
          <w:p w14:paraId="75758B9D">
            <w:pPr>
              <w:spacing w:line="260" w:lineRule="exact"/>
              <w:jc w:val="left"/>
              <w:rPr>
                <w:rFonts w:ascii="仿宋_GB2312" w:eastAsia="仿宋_GB2312" w:cs="仿宋_GB2312"/>
                <w:color w:val="000000"/>
                <w:szCs w:val="21"/>
              </w:rPr>
            </w:pPr>
            <w:r>
              <w:rPr>
                <w:rFonts w:hint="eastAsia" w:ascii="仿宋_GB2312" w:eastAsia="仿宋_GB2312" w:cs="仿宋_GB2312"/>
                <w:color w:val="000000"/>
                <w:szCs w:val="21"/>
              </w:rPr>
              <w:t>春芽破土 蜕变成诗——《“我的韶山行”研学日记》之成长篇</w:t>
            </w:r>
          </w:p>
          <w:p w14:paraId="51EBA43D">
            <w:pPr>
              <w:spacing w:line="260" w:lineRule="exact"/>
              <w:jc w:val="left"/>
            </w:pPr>
            <w:r>
              <w:rPr>
                <w:rFonts w:hint="eastAsia" w:ascii="仿宋_GB2312" w:eastAsia="仿宋_GB2312" w:cs="仿宋_GB2312"/>
                <w:color w:val="000000"/>
                <w:szCs w:val="21"/>
              </w:rPr>
              <w:t>https://weixin.qq.com/sph/ARvH3Fmyo</w:t>
            </w:r>
          </w:p>
        </w:tc>
      </w:tr>
      <w:tr w14:paraId="0223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9"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640943B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p w14:paraId="75F1E145">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作采</w:t>
            </w:r>
          </w:p>
          <w:p w14:paraId="64CCBA1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品编</w:t>
            </w:r>
          </w:p>
          <w:p w14:paraId="1989F16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简过</w:t>
            </w:r>
          </w:p>
          <w:p w14:paraId="5ED6BB9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介程</w:t>
            </w:r>
          </w:p>
          <w:p w14:paraId="55612145">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tc>
        <w:tc>
          <w:tcPr>
            <w:tcW w:w="8048" w:type="dxa"/>
            <w:gridSpan w:val="6"/>
            <w:tcBorders>
              <w:top w:val="single" w:color="auto" w:sz="4" w:space="0"/>
              <w:left w:val="single" w:color="auto" w:sz="4" w:space="0"/>
              <w:bottom w:val="single" w:color="auto" w:sz="4" w:space="0"/>
              <w:right w:val="single" w:color="auto" w:sz="4" w:space="0"/>
            </w:tcBorders>
            <w:noWrap/>
            <w:vAlign w:val="center"/>
          </w:tcPr>
          <w:p w14:paraId="0D117618">
            <w:pPr>
              <w:spacing w:line="260" w:lineRule="exact"/>
              <w:ind w:firstLine="420" w:firstLineChars="200"/>
              <w:rPr>
                <w:rFonts w:ascii="仿宋_GB2312" w:hAnsi="仿宋" w:eastAsia="仿宋_GB2312" w:cs="仿宋_GB2312"/>
                <w:color w:val="000000"/>
                <w:szCs w:val="21"/>
              </w:rPr>
            </w:pPr>
            <w:r>
              <w:rPr>
                <w:rFonts w:hint="eastAsia" w:ascii="仿宋_GB2312" w:eastAsia="仿宋_GB2312" w:cs="仿宋_GB2312"/>
                <w:color w:val="000000"/>
                <w:szCs w:val="21"/>
              </w:rPr>
              <w:t>2023年4月，为全面落实习近平总书记“把红色资源利用好、把红色传统发扬好、把红色基因传承好”的重要指示精神，湖南省启动“我的韶山行”湖南省中小学生红色研学。《“我的韶山行”研学日记》是一组以红色研学为主题的深度系列报道。主创人员以“沉浸式记录者”的姿态，在四季流转的光影中全流程参与“我的韶山行”红色研学各环节。在采编</w:t>
            </w:r>
            <w:r>
              <w:rPr>
                <w:rFonts w:ascii="仿宋_GB2312" w:eastAsia="仿宋_GB2312" w:cs="仿宋_GB2312"/>
                <w:color w:val="000000"/>
                <w:szCs w:val="21"/>
              </w:rPr>
              <w:t>过程中，</w:t>
            </w:r>
            <w:r>
              <w:rPr>
                <w:rFonts w:hint="eastAsia" w:ascii="仿宋_GB2312" w:eastAsia="仿宋_GB2312" w:cs="仿宋_GB2312"/>
                <w:color w:val="000000"/>
                <w:szCs w:val="21"/>
              </w:rPr>
              <w:t>通过细致入微的笔触和多元视角的切入，以研学学生、德育校长、思政大课教师、研学助理、营地厨师、专列乘务员、公安交警、展教结合老师、记者、回访学生等角色为主人翁，</w:t>
            </w:r>
            <w:r>
              <w:rPr>
                <w:rFonts w:ascii="仿宋_GB2312" w:eastAsia="仿宋_GB2312" w:cs="仿宋_GB2312"/>
                <w:color w:val="000000"/>
                <w:szCs w:val="21"/>
              </w:rPr>
              <w:t>深入</w:t>
            </w:r>
            <w:r>
              <w:rPr>
                <w:rFonts w:hint="eastAsia" w:ascii="仿宋_GB2312" w:eastAsia="仿宋_GB2312" w:cs="仿宋_GB2312"/>
                <w:color w:val="000000"/>
                <w:szCs w:val="21"/>
              </w:rPr>
              <w:t>他们</w:t>
            </w:r>
            <w:r>
              <w:rPr>
                <w:rFonts w:ascii="仿宋_GB2312" w:eastAsia="仿宋_GB2312" w:cs="仿宋_GB2312"/>
                <w:color w:val="000000"/>
                <w:szCs w:val="21"/>
              </w:rPr>
              <w:t>的生活和工作场景</w:t>
            </w:r>
            <w:r>
              <w:rPr>
                <w:rFonts w:hint="eastAsia" w:ascii="仿宋_GB2312" w:eastAsia="仿宋_GB2312" w:cs="仿宋_GB2312"/>
                <w:color w:val="000000"/>
                <w:szCs w:val="21"/>
              </w:rPr>
              <w:t>，真情交流，用镜头捕捉最真实的瞬间。报道采用第一人称叙述方式，以日记体形式呈现，将九组代表人物的故事凝聚成册，全方位、多角度、深层次地讲述红色研学中的生动故事。作品</w:t>
            </w:r>
            <w:r>
              <w:rPr>
                <w:rFonts w:ascii="仿宋_GB2312" w:eastAsia="仿宋_GB2312" w:cs="仿宋_GB2312"/>
                <w:color w:val="000000"/>
                <w:szCs w:val="21"/>
              </w:rPr>
              <w:t>既具</w:t>
            </w:r>
            <w:r>
              <w:rPr>
                <w:rFonts w:hint="eastAsia" w:ascii="仿宋_GB2312" w:eastAsia="仿宋_GB2312" w:cs="仿宋_GB2312"/>
                <w:color w:val="000000"/>
                <w:szCs w:val="21"/>
              </w:rPr>
              <w:t>有</w:t>
            </w:r>
            <w:r>
              <w:rPr>
                <w:rFonts w:ascii="仿宋_GB2312" w:eastAsia="仿宋_GB2312" w:cs="仿宋_GB2312"/>
                <w:color w:val="000000"/>
                <w:szCs w:val="21"/>
              </w:rPr>
              <w:t>纪实性，又充满感染力，主创人员在创作过程中收获了满满的感动</w:t>
            </w:r>
            <w:r>
              <w:rPr>
                <w:rFonts w:hint="eastAsia" w:ascii="仿宋_GB2312" w:eastAsia="仿宋_GB2312" w:cs="仿宋_GB2312"/>
                <w:color w:val="000000"/>
                <w:szCs w:val="21"/>
              </w:rPr>
              <w:t>与正</w:t>
            </w:r>
            <w:r>
              <w:rPr>
                <w:rFonts w:ascii="仿宋_GB2312" w:eastAsia="仿宋_GB2312" w:cs="仿宋_GB2312"/>
                <w:color w:val="000000"/>
                <w:szCs w:val="21"/>
              </w:rPr>
              <w:t>能量</w:t>
            </w:r>
            <w:r>
              <w:rPr>
                <w:rFonts w:hint="eastAsia" w:ascii="仿宋_GB2312" w:eastAsia="仿宋_GB2312" w:cs="仿宋_GB2312"/>
                <w:color w:val="000000"/>
                <w:szCs w:val="21"/>
              </w:rPr>
              <w:t>。</w:t>
            </w:r>
          </w:p>
        </w:tc>
      </w:tr>
      <w:tr w14:paraId="64E6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44804834">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社</w:t>
            </w:r>
          </w:p>
          <w:p w14:paraId="5DAFBBA7">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会</w:t>
            </w:r>
          </w:p>
          <w:p w14:paraId="2C2A6527">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效</w:t>
            </w:r>
          </w:p>
          <w:p w14:paraId="25F82F52">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果</w:t>
            </w:r>
          </w:p>
        </w:tc>
        <w:tc>
          <w:tcPr>
            <w:tcW w:w="8048" w:type="dxa"/>
            <w:gridSpan w:val="6"/>
            <w:tcBorders>
              <w:top w:val="single" w:color="auto" w:sz="4" w:space="0"/>
              <w:left w:val="single" w:color="auto" w:sz="4" w:space="0"/>
              <w:bottom w:val="single" w:color="auto" w:sz="4" w:space="0"/>
              <w:right w:val="single" w:color="auto" w:sz="4" w:space="0"/>
            </w:tcBorders>
            <w:noWrap/>
            <w:vAlign w:val="center"/>
          </w:tcPr>
          <w:p w14:paraId="4B455AE7">
            <w:pPr>
              <w:spacing w:line="260" w:lineRule="exact"/>
              <w:ind w:firstLine="420" w:firstLineChars="200"/>
              <w:rPr>
                <w:rFonts w:ascii="仿宋" w:hAnsi="仿宋" w:eastAsia="仿宋"/>
                <w:color w:val="000000"/>
                <w:sz w:val="24"/>
              </w:rPr>
            </w:pPr>
            <w:r>
              <w:rPr>
                <w:rFonts w:ascii="仿宋_GB2312" w:eastAsia="仿宋_GB2312" w:cs="仿宋_GB2312"/>
                <w:color w:val="000000"/>
                <w:szCs w:val="21"/>
              </w:rPr>
              <w:t>《“我的韶山行”研学日记》播出</w:t>
            </w:r>
            <w:r>
              <w:rPr>
                <w:rFonts w:hint="eastAsia" w:ascii="仿宋_GB2312" w:eastAsia="仿宋_GB2312" w:cs="仿宋_GB2312"/>
                <w:color w:val="000000"/>
                <w:szCs w:val="21"/>
              </w:rPr>
              <w:t>后</w:t>
            </w:r>
            <w:r>
              <w:rPr>
                <w:rFonts w:ascii="仿宋_GB2312" w:eastAsia="仿宋_GB2312" w:cs="仿宋_GB2312"/>
                <w:color w:val="000000"/>
                <w:szCs w:val="21"/>
              </w:rPr>
              <w:t>，</w:t>
            </w:r>
            <w:r>
              <w:rPr>
                <w:rFonts w:hint="eastAsia" w:ascii="仿宋_GB2312" w:eastAsia="仿宋_GB2312" w:cs="仿宋_GB2312"/>
                <w:color w:val="000000"/>
                <w:szCs w:val="21"/>
              </w:rPr>
              <w:t>吸引了全国各地的读者高度关注和讨论，</w:t>
            </w:r>
            <w:r>
              <w:rPr>
                <w:rFonts w:ascii="仿宋_GB2312" w:eastAsia="仿宋_GB2312" w:cs="仿宋_GB2312"/>
                <w:color w:val="000000"/>
                <w:szCs w:val="21"/>
              </w:rPr>
              <w:t>如同</w:t>
            </w:r>
            <w:r>
              <w:rPr>
                <w:rFonts w:hint="eastAsia" w:ascii="仿宋_GB2312" w:eastAsia="仿宋_GB2312" w:cs="仿宋_GB2312"/>
                <w:color w:val="000000"/>
                <w:szCs w:val="21"/>
              </w:rPr>
              <w:t>播</w:t>
            </w:r>
            <w:r>
              <w:rPr>
                <w:rFonts w:ascii="仿宋_GB2312" w:eastAsia="仿宋_GB2312" w:cs="仿宋_GB2312"/>
                <w:color w:val="000000"/>
                <w:szCs w:val="21"/>
              </w:rPr>
              <w:t>下了</w:t>
            </w:r>
            <w:r>
              <w:rPr>
                <w:rFonts w:hint="eastAsia" w:ascii="仿宋_GB2312" w:eastAsia="仿宋_GB2312" w:cs="仿宋_GB2312"/>
                <w:color w:val="000000"/>
                <w:szCs w:val="21"/>
              </w:rPr>
              <w:t>数</w:t>
            </w:r>
            <w:r>
              <w:rPr>
                <w:rFonts w:ascii="仿宋_GB2312" w:eastAsia="仿宋_GB2312" w:cs="仿宋_GB2312"/>
                <w:color w:val="000000"/>
                <w:szCs w:val="21"/>
              </w:rPr>
              <w:t>颗温暖的种子，迅速生根发芽，结出硕果。中央</w:t>
            </w:r>
            <w:r>
              <w:rPr>
                <w:rFonts w:hint="eastAsia" w:ascii="仿宋_GB2312" w:eastAsia="仿宋_GB2312" w:cs="仿宋_GB2312"/>
                <w:color w:val="000000"/>
                <w:szCs w:val="21"/>
              </w:rPr>
              <w:t>、</w:t>
            </w:r>
            <w:r>
              <w:rPr>
                <w:rFonts w:ascii="仿宋_GB2312" w:eastAsia="仿宋_GB2312" w:cs="仿宋_GB2312"/>
                <w:color w:val="000000"/>
                <w:szCs w:val="21"/>
              </w:rPr>
              <w:t>省级媒体纷纷聚焦，将</w:t>
            </w:r>
            <w:r>
              <w:rPr>
                <w:rFonts w:hint="eastAsia" w:ascii="仿宋_GB2312" w:eastAsia="仿宋_GB2312" w:cs="仿宋_GB2312"/>
                <w:color w:val="000000"/>
                <w:szCs w:val="21"/>
              </w:rPr>
              <w:t>“走进伟人故里 传承红色基因 培育时代新人”这一主题的红色研学</w:t>
            </w:r>
            <w:r>
              <w:rPr>
                <w:rFonts w:ascii="仿宋_GB2312" w:eastAsia="仿宋_GB2312" w:cs="仿宋_GB2312"/>
                <w:color w:val="000000"/>
                <w:szCs w:val="21"/>
              </w:rPr>
              <w:t>推向了更广阔的舞台。</w:t>
            </w:r>
            <w:r>
              <w:rPr>
                <w:rFonts w:hint="eastAsia" w:ascii="仿宋_GB2312" w:eastAsia="仿宋_GB2312" w:cs="仿宋_GB2312"/>
                <w:color w:val="000000"/>
                <w:szCs w:val="21"/>
              </w:rPr>
              <w:t>“</w:t>
            </w:r>
            <w:r>
              <w:rPr>
                <w:rFonts w:ascii="仿宋_GB2312" w:eastAsia="仿宋_GB2312" w:cs="仿宋_GB2312"/>
                <w:color w:val="000000"/>
                <w:szCs w:val="21"/>
              </w:rPr>
              <w:t>我的韶山行</w:t>
            </w:r>
            <w:r>
              <w:rPr>
                <w:rFonts w:hint="eastAsia" w:ascii="仿宋_GB2312" w:eastAsia="仿宋_GB2312" w:cs="仿宋_GB2312"/>
                <w:color w:val="000000"/>
                <w:szCs w:val="21"/>
              </w:rPr>
              <w:t>”</w:t>
            </w:r>
            <w:r>
              <w:rPr>
                <w:rFonts w:ascii="仿宋_GB2312" w:eastAsia="仿宋_GB2312" w:cs="仿宋_GB2312"/>
                <w:color w:val="000000"/>
                <w:szCs w:val="21"/>
              </w:rPr>
              <w:t>红色研学入选中国基础教育创新案例，</w:t>
            </w:r>
            <w:r>
              <w:rPr>
                <w:rFonts w:hint="eastAsia" w:ascii="仿宋_GB2312" w:eastAsia="仿宋_GB2312" w:cs="仿宋_GB2312"/>
                <w:color w:val="000000"/>
                <w:szCs w:val="21"/>
              </w:rPr>
              <w:t>成为新时代思政教育新名片和“大思政课”样板。爱国主义教育基地育人新模式迎来各方点赞</w:t>
            </w:r>
            <w:r>
              <w:rPr>
                <w:rFonts w:ascii="仿宋_GB2312" w:eastAsia="仿宋_GB2312" w:cs="仿宋_GB2312"/>
                <w:color w:val="000000"/>
                <w:szCs w:val="21"/>
              </w:rPr>
              <w:t>，</w:t>
            </w:r>
            <w:r>
              <w:rPr>
                <w:rFonts w:hint="eastAsia" w:ascii="仿宋_GB2312" w:eastAsia="仿宋_GB2312" w:cs="仿宋_GB2312"/>
                <w:color w:val="000000"/>
                <w:szCs w:val="21"/>
              </w:rPr>
              <w:t>红色文化对当代青少年的深远影响以及学生的成长与收获引发各界的热烈反响与共鸣。</w:t>
            </w:r>
          </w:p>
        </w:tc>
      </w:tr>
      <w:tr w14:paraId="573AB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6BF629D6">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p w14:paraId="2B9D9DA6">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初推</w:t>
            </w:r>
          </w:p>
          <w:p w14:paraId="75EA12A2">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评荐</w:t>
            </w:r>
          </w:p>
          <w:p w14:paraId="7C9C4D19">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评理</w:t>
            </w:r>
          </w:p>
          <w:p w14:paraId="32F6EB3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语由</w:t>
            </w:r>
          </w:p>
          <w:p w14:paraId="195366C1">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 xml:space="preserve">  ︶</w:t>
            </w:r>
          </w:p>
        </w:tc>
        <w:tc>
          <w:tcPr>
            <w:tcW w:w="8048" w:type="dxa"/>
            <w:gridSpan w:val="6"/>
            <w:tcBorders>
              <w:top w:val="single" w:color="auto" w:sz="4" w:space="0"/>
              <w:left w:val="single" w:color="auto" w:sz="4" w:space="0"/>
              <w:bottom w:val="single" w:color="auto" w:sz="4" w:space="0"/>
              <w:right w:val="single" w:color="auto" w:sz="4" w:space="0"/>
            </w:tcBorders>
            <w:noWrap/>
            <w:vAlign w:val="center"/>
          </w:tcPr>
          <w:p w14:paraId="3689AC5D">
            <w:pPr>
              <w:spacing w:line="260" w:lineRule="exact"/>
              <w:ind w:firstLine="420" w:firstLineChars="200"/>
              <w:rPr>
                <w:rFonts w:ascii="华文中宋" w:hAnsi="华文中宋" w:eastAsia="华文中宋"/>
                <w:color w:val="000000"/>
                <w:sz w:val="28"/>
                <w:szCs w:val="28"/>
              </w:rPr>
            </w:pPr>
            <w:r>
              <w:rPr>
                <w:rFonts w:hint="eastAsia" w:ascii="仿宋_GB2312" w:eastAsia="仿宋_GB2312" w:cs="仿宋_GB2312"/>
                <w:color w:val="000000"/>
                <w:szCs w:val="21"/>
              </w:rPr>
              <w:t>该组系列报道结构严谨、立意深远、语言细腻、情感真挚，通过精心设计的篇章布局，以其独特的视角、生动的叙述，将红色研学中的个人感悟、历史回顾与现实思考巧妙融合，深刻挖掘了红色文化的精神内核与时代意义，内容实、接地气，是一组具有新闻价值与人文情怀的佳作。推荐参评。</w:t>
            </w:r>
          </w:p>
          <w:p w14:paraId="4AB5F948">
            <w:pPr>
              <w:spacing w:line="320" w:lineRule="exact"/>
              <w:ind w:left="3360" w:leftChars="1600"/>
              <w:jc w:val="center"/>
              <w:rPr>
                <w:rFonts w:ascii="华文中宋" w:hAnsi="华文中宋" w:eastAsia="华文中宋" w:cs="华文中宋"/>
                <w:color w:val="000000"/>
                <w:sz w:val="24"/>
              </w:rPr>
            </w:pPr>
          </w:p>
          <w:p w14:paraId="4CD07CB0">
            <w:pPr>
              <w:spacing w:line="320" w:lineRule="exact"/>
              <w:ind w:left="3360" w:leftChars="1600"/>
              <w:jc w:val="center"/>
              <w:rPr>
                <w:rFonts w:ascii="华文中宋" w:hAnsi="华文中宋" w:eastAsia="华文中宋"/>
                <w:color w:val="000000"/>
                <w:sz w:val="24"/>
              </w:rPr>
            </w:pPr>
            <w:r>
              <w:rPr>
                <w:rFonts w:hint="eastAsia" w:ascii="华文中宋" w:hAnsi="华文中宋" w:eastAsia="华文中宋" w:cs="华文中宋"/>
                <w:color w:val="000000"/>
                <w:sz w:val="24"/>
              </w:rPr>
              <w:t>签名：（盖单位公章）</w:t>
            </w:r>
          </w:p>
          <w:p w14:paraId="5FA60721">
            <w:pPr>
              <w:spacing w:line="260" w:lineRule="exact"/>
              <w:ind w:left="3360" w:leftChars="1600"/>
              <w:jc w:val="center"/>
              <w:rPr>
                <w:rFonts w:ascii="仿宋" w:hAnsi="仿宋" w:eastAsia="仿宋"/>
                <w:color w:val="000000"/>
                <w:sz w:val="24"/>
              </w:rPr>
            </w:pPr>
            <w:r>
              <w:rPr>
                <w:rFonts w:hint="eastAsia" w:ascii="华文中宋" w:hAnsi="华文中宋" w:eastAsia="华文中宋"/>
                <w:color w:val="000000"/>
                <w:sz w:val="24"/>
              </w:rPr>
              <w:t>20</w:t>
            </w:r>
            <w:r>
              <w:rPr>
                <w:rFonts w:hint="eastAsia" w:ascii="华文中宋" w:hAnsi="华文中宋" w:eastAsia="华文中宋" w:cs="华文中宋"/>
                <w:color w:val="000000"/>
                <w:sz w:val="24"/>
              </w:rPr>
              <w:t>25年</w:t>
            </w:r>
            <w:r>
              <w:rPr>
                <w:rFonts w:hint="eastAsia" w:ascii="华文中宋" w:hAnsi="华文中宋" w:eastAsia="华文中宋"/>
                <w:color w:val="000000"/>
                <w:sz w:val="24"/>
              </w:rPr>
              <w:t>2</w:t>
            </w:r>
            <w:r>
              <w:rPr>
                <w:rFonts w:hint="eastAsia" w:ascii="华文中宋" w:hAnsi="华文中宋" w:eastAsia="华文中宋" w:cs="华文中宋"/>
                <w:color w:val="000000"/>
                <w:sz w:val="24"/>
              </w:rPr>
              <w:t>月</w:t>
            </w:r>
            <w:r>
              <w:rPr>
                <w:rFonts w:hint="eastAsia" w:ascii="华文中宋" w:hAnsi="华文中宋" w:eastAsia="华文中宋"/>
                <w:color w:val="000000"/>
                <w:sz w:val="24"/>
              </w:rPr>
              <w:t>20</w:t>
            </w:r>
            <w:r>
              <w:rPr>
                <w:rFonts w:hint="eastAsia" w:ascii="华文中宋" w:hAnsi="华文中宋" w:eastAsia="华文中宋" w:cs="华文中宋"/>
                <w:color w:val="000000"/>
                <w:sz w:val="24"/>
              </w:rPr>
              <w:t>日</w:t>
            </w:r>
          </w:p>
        </w:tc>
      </w:tr>
      <w:tr w14:paraId="568B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1576" w:type="dxa"/>
            <w:tcBorders>
              <w:top w:val="single" w:color="auto" w:sz="4" w:space="0"/>
              <w:left w:val="single" w:color="auto" w:sz="4" w:space="0"/>
              <w:bottom w:val="single" w:color="auto" w:sz="4" w:space="0"/>
              <w:right w:val="single" w:color="auto" w:sz="4" w:space="0"/>
            </w:tcBorders>
            <w:noWrap/>
            <w:vAlign w:val="center"/>
          </w:tcPr>
          <w:p w14:paraId="27314A2F">
            <w:pPr>
              <w:spacing w:line="320" w:lineRule="exact"/>
              <w:jc w:val="center"/>
              <w:rPr>
                <w:rFonts w:ascii="华文中宋" w:hAnsi="华文中宋" w:eastAsia="华文中宋" w:cs="华文中宋"/>
                <w:color w:val="000000"/>
                <w:sz w:val="28"/>
                <w:szCs w:val="28"/>
              </w:rPr>
            </w:pPr>
            <w:r>
              <w:rPr>
                <w:rFonts w:hint="eastAsia" w:ascii="华文中宋" w:hAnsi="华文中宋" w:eastAsia="华文中宋" w:cs="华文中宋"/>
                <w:color w:val="000000"/>
                <w:sz w:val="28"/>
                <w:szCs w:val="28"/>
              </w:rPr>
              <w:t>联系人</w:t>
            </w:r>
          </w:p>
          <w:p w14:paraId="203B91CD">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（作者）</w:t>
            </w:r>
          </w:p>
        </w:tc>
        <w:tc>
          <w:tcPr>
            <w:tcW w:w="2831" w:type="dxa"/>
            <w:gridSpan w:val="3"/>
            <w:tcBorders>
              <w:top w:val="single" w:color="auto" w:sz="4" w:space="0"/>
              <w:left w:val="single" w:color="auto" w:sz="4" w:space="0"/>
              <w:bottom w:val="single" w:color="auto" w:sz="4" w:space="0"/>
              <w:right w:val="single" w:color="auto" w:sz="4" w:space="0"/>
            </w:tcBorders>
            <w:noWrap/>
            <w:vAlign w:val="center"/>
          </w:tcPr>
          <w:p w14:paraId="707B39B8">
            <w:pPr>
              <w:spacing w:line="320" w:lineRule="exact"/>
              <w:ind w:firstLine="560"/>
              <w:jc w:val="center"/>
              <w:rPr>
                <w:rFonts w:ascii="华文中宋" w:hAnsi="华文中宋" w:eastAsia="华文中宋"/>
                <w:color w:val="000000"/>
                <w:sz w:val="28"/>
                <w:szCs w:val="28"/>
              </w:rPr>
            </w:pPr>
            <w:r>
              <w:rPr>
                <w:rFonts w:hint="eastAsia" w:ascii="仿宋_GB2312" w:hAnsi="仿宋" w:eastAsia="仿宋_GB2312" w:cs="仿宋_GB2312"/>
                <w:color w:val="000000"/>
                <w:szCs w:val="21"/>
              </w:rPr>
              <w:t>左媛媛</w:t>
            </w:r>
          </w:p>
        </w:tc>
        <w:tc>
          <w:tcPr>
            <w:tcW w:w="791" w:type="dxa"/>
            <w:tcBorders>
              <w:top w:val="single" w:color="auto" w:sz="4" w:space="0"/>
              <w:left w:val="single" w:color="auto" w:sz="4" w:space="0"/>
              <w:bottom w:val="single" w:color="auto" w:sz="4" w:space="0"/>
              <w:right w:val="single" w:color="auto" w:sz="4" w:space="0"/>
            </w:tcBorders>
            <w:noWrap/>
            <w:vAlign w:val="center"/>
          </w:tcPr>
          <w:p w14:paraId="7029B40E">
            <w:pPr>
              <w:spacing w:line="320" w:lineRule="exact"/>
              <w:jc w:val="center"/>
              <w:rPr>
                <w:rFonts w:ascii="华文中宋" w:hAnsi="华文中宋" w:eastAsia="华文中宋"/>
                <w:color w:val="000000"/>
                <w:sz w:val="28"/>
                <w:szCs w:val="28"/>
              </w:rPr>
            </w:pPr>
            <w:r>
              <w:rPr>
                <w:rFonts w:hint="eastAsia" w:ascii="华文中宋" w:hAnsi="华文中宋" w:eastAsia="华文中宋" w:cs="华文中宋"/>
                <w:color w:val="000000"/>
                <w:sz w:val="28"/>
                <w:szCs w:val="28"/>
              </w:rPr>
              <w:t>手机</w:t>
            </w:r>
          </w:p>
        </w:tc>
        <w:tc>
          <w:tcPr>
            <w:tcW w:w="4426" w:type="dxa"/>
            <w:gridSpan w:val="2"/>
            <w:tcBorders>
              <w:top w:val="single" w:color="auto" w:sz="4" w:space="0"/>
              <w:left w:val="single" w:color="auto" w:sz="4" w:space="0"/>
              <w:bottom w:val="single" w:color="auto" w:sz="4" w:space="0"/>
              <w:right w:val="single" w:color="auto" w:sz="4" w:space="0"/>
            </w:tcBorders>
            <w:noWrap/>
            <w:vAlign w:val="center"/>
          </w:tcPr>
          <w:p w14:paraId="3AEEB38A">
            <w:pPr>
              <w:spacing w:line="320" w:lineRule="exact"/>
              <w:ind w:firstLine="560"/>
              <w:jc w:val="center"/>
              <w:rPr>
                <w:rFonts w:ascii="华文中宋" w:hAnsi="华文中宋" w:eastAsia="华文中宋"/>
                <w:color w:val="000000"/>
                <w:sz w:val="28"/>
                <w:szCs w:val="28"/>
              </w:rPr>
            </w:pPr>
            <w:r>
              <w:rPr>
                <w:rFonts w:hint="eastAsia" w:ascii="仿宋_GB2312" w:eastAsia="仿宋_GB2312" w:cs="仿宋_GB2312"/>
                <w:color w:val="000000"/>
                <w:szCs w:val="21"/>
              </w:rPr>
              <w:t>13469313588</w:t>
            </w:r>
          </w:p>
        </w:tc>
      </w:tr>
    </w:tbl>
    <w:p w14:paraId="4B7AF9DB">
      <w:pPr>
        <w:jc w:val="center"/>
        <w:rPr>
          <w:rFonts w:ascii="黑体" w:hAnsi="宋体" w:eastAsia="黑体" w:cs="黑体"/>
          <w:bCs/>
          <w:color w:val="000000"/>
          <w:sz w:val="32"/>
          <w:szCs w:val="32"/>
        </w:rPr>
      </w:pPr>
      <w:r>
        <w:rPr>
          <w:rFonts w:hint="eastAsia" w:ascii="黑体" w:hAnsi="宋体" w:eastAsia="黑体" w:cs="黑体"/>
          <w:bCs/>
          <w:color w:val="000000"/>
          <w:sz w:val="32"/>
          <w:szCs w:val="32"/>
        </w:rPr>
        <w:drawing>
          <wp:inline distT="0" distB="0" distL="114300" distR="114300">
            <wp:extent cx="2471420" cy="2471420"/>
            <wp:effectExtent l="0" t="0" r="5080" b="5080"/>
            <wp:docPr id="1" name="图片 1" descr="少年报国 正当其时——《“我的韶山行”研学日记》之求索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少年报国 正当其时——《“我的韶山行”研学日记》之求索篇"/>
                    <pic:cNvPicPr>
                      <a:picLocks noChangeAspect="1"/>
                    </pic:cNvPicPr>
                  </pic:nvPicPr>
                  <pic:blipFill>
                    <a:blip r:embed="rId4"/>
                    <a:stretch>
                      <a:fillRect/>
                    </a:stretch>
                  </pic:blipFill>
                  <pic:spPr>
                    <a:xfrm>
                      <a:off x="0" y="0"/>
                      <a:ext cx="2471420" cy="2471420"/>
                    </a:xfrm>
                    <a:prstGeom prst="rect">
                      <a:avLst/>
                    </a:prstGeom>
                  </pic:spPr>
                </pic:pic>
              </a:graphicData>
            </a:graphic>
          </wp:inline>
        </w:drawing>
      </w:r>
    </w:p>
    <w:p w14:paraId="75D52B9B">
      <w:pPr>
        <w:spacing w:line="260" w:lineRule="exact"/>
        <w:jc w:val="center"/>
      </w:pPr>
      <w:r>
        <w:rPr>
          <w:rFonts w:hint="eastAsia" w:ascii="仿宋_GB2312" w:eastAsia="仿宋_GB2312" w:cs="仿宋_GB2312"/>
          <w:color w:val="000000"/>
          <w:szCs w:val="21"/>
        </w:rPr>
        <w:t>少年报国 正当其时——《“我的韶山行”研学日记》之求索篇</w:t>
      </w:r>
    </w:p>
    <w:p w14:paraId="36105AC2">
      <w:pPr>
        <w:pStyle w:val="2"/>
        <w:jc w:val="center"/>
      </w:pPr>
      <w:r>
        <w:rPr>
          <w:rFonts w:hint="eastAsia"/>
        </w:rPr>
        <w:drawing>
          <wp:inline distT="0" distB="0" distL="114300" distR="114300">
            <wp:extent cx="2450465" cy="2450465"/>
            <wp:effectExtent l="0" t="0" r="6985" b="6985"/>
            <wp:docPr id="2" name="图片 2" descr="青春脉搏 同频共振——《“我的韶山行”研学日记》之热爱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青春脉搏 同频共振——《“我的韶山行”研学日记》之热爱篇"/>
                    <pic:cNvPicPr>
                      <a:picLocks noChangeAspect="1"/>
                    </pic:cNvPicPr>
                  </pic:nvPicPr>
                  <pic:blipFill>
                    <a:blip r:embed="rId5"/>
                    <a:stretch>
                      <a:fillRect/>
                    </a:stretch>
                  </pic:blipFill>
                  <pic:spPr>
                    <a:xfrm>
                      <a:off x="0" y="0"/>
                      <a:ext cx="2450465" cy="2450465"/>
                    </a:xfrm>
                    <a:prstGeom prst="rect">
                      <a:avLst/>
                    </a:prstGeom>
                  </pic:spPr>
                </pic:pic>
              </a:graphicData>
            </a:graphic>
          </wp:inline>
        </w:drawing>
      </w:r>
    </w:p>
    <w:p w14:paraId="4AEC0136">
      <w:pPr>
        <w:spacing w:line="260" w:lineRule="exact"/>
        <w:jc w:val="center"/>
      </w:pPr>
      <w:r>
        <w:rPr>
          <w:rFonts w:hint="eastAsia" w:ascii="仿宋_GB2312" w:eastAsia="仿宋_GB2312" w:cs="仿宋_GB2312"/>
          <w:color w:val="000000"/>
          <w:szCs w:val="21"/>
        </w:rPr>
        <w:t>青春脉搏 同频共振——《“我的韶山行”研学日记》之热爱篇</w:t>
      </w:r>
    </w:p>
    <w:p w14:paraId="4A9A688F">
      <w:pPr>
        <w:jc w:val="center"/>
      </w:pPr>
      <w:r>
        <w:rPr>
          <w:rFonts w:hint="eastAsia"/>
        </w:rPr>
        <w:drawing>
          <wp:inline distT="0" distB="0" distL="114300" distR="114300">
            <wp:extent cx="2517775" cy="2517775"/>
            <wp:effectExtent l="0" t="0" r="15875" b="15875"/>
            <wp:docPr id="3" name="图片 3" descr="春芽破土 蜕变成诗——《“我的韶山行”研学日记》之成长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春芽破土 蜕变成诗——《“我的韶山行”研学日记》之成长篇"/>
                    <pic:cNvPicPr>
                      <a:picLocks noChangeAspect="1"/>
                    </pic:cNvPicPr>
                  </pic:nvPicPr>
                  <pic:blipFill>
                    <a:blip r:embed="rId6"/>
                    <a:stretch>
                      <a:fillRect/>
                    </a:stretch>
                  </pic:blipFill>
                  <pic:spPr>
                    <a:xfrm>
                      <a:off x="0" y="0"/>
                      <a:ext cx="2517775" cy="2517775"/>
                    </a:xfrm>
                    <a:prstGeom prst="rect">
                      <a:avLst/>
                    </a:prstGeom>
                  </pic:spPr>
                </pic:pic>
              </a:graphicData>
            </a:graphic>
          </wp:inline>
        </w:drawing>
      </w:r>
    </w:p>
    <w:p w14:paraId="1F6C97CE">
      <w:pPr>
        <w:spacing w:line="260" w:lineRule="exact"/>
        <w:jc w:val="center"/>
        <w:rPr>
          <w:rFonts w:ascii="仿宋_GB2312" w:eastAsia="仿宋_GB2312" w:cs="仿宋_GB2312"/>
          <w:color w:val="000000"/>
          <w:szCs w:val="21"/>
        </w:rPr>
      </w:pPr>
      <w:r>
        <w:rPr>
          <w:rFonts w:hint="eastAsia" w:ascii="仿宋_GB2312" w:eastAsia="仿宋_GB2312" w:cs="仿宋_GB2312"/>
          <w:color w:val="000000"/>
          <w:szCs w:val="21"/>
        </w:rPr>
        <w:t>春芽破土 蜕变成诗——《“我的韶山行”研学日记》之成长篇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embedRegular r:id="rId1" w:fontKey="{9FAE0A76-C293-4B36-8257-FF630077866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54ABF11-143C-42E6-AEE9-58ED69D2B6BE}"/>
  </w:font>
  <w:font w:name="方正小标宋简体">
    <w:panose1 w:val="03000509000000000000"/>
    <w:charset w:val="86"/>
    <w:family w:val="script"/>
    <w:pitch w:val="default"/>
    <w:sig w:usb0="00000001" w:usb1="080E0000" w:usb2="00000000" w:usb3="00000000" w:csb0="00040000" w:csb1="00000000"/>
    <w:embedRegular r:id="rId3" w:fontKey="{3D7F2338-82CE-4551-954A-D38A7BE9469D}"/>
  </w:font>
  <w:font w:name="华文中宋">
    <w:panose1 w:val="02010600040101010101"/>
    <w:charset w:val="86"/>
    <w:family w:val="auto"/>
    <w:pitch w:val="default"/>
    <w:sig w:usb0="00000287" w:usb1="080F0000" w:usb2="00000000" w:usb3="00000000" w:csb0="0004009F" w:csb1="DFD70000"/>
    <w:embedRegular r:id="rId4" w:fontKey="{96157B14-306B-4EAC-8AE2-979FB73E518B}"/>
  </w:font>
  <w:font w:name="仿宋_GB2312">
    <w:panose1 w:val="02010609030101010101"/>
    <w:charset w:val="86"/>
    <w:family w:val="modern"/>
    <w:pitch w:val="default"/>
    <w:sig w:usb0="00000001" w:usb1="080E0000" w:usb2="00000000" w:usb3="00000000" w:csb0="00040000" w:csb1="00000000"/>
    <w:embedRegular r:id="rId5" w:fontKey="{E1CED094-DF52-472A-B72E-55E8F6691B27}"/>
  </w:font>
  <w:font w:name="仿宋">
    <w:panose1 w:val="02010609060101010101"/>
    <w:charset w:val="86"/>
    <w:family w:val="modern"/>
    <w:pitch w:val="default"/>
    <w:sig w:usb0="800002BF" w:usb1="38CF7CFA" w:usb2="00000016" w:usb3="00000000" w:csb0="00040001" w:csb1="00000000"/>
    <w:embedRegular r:id="rId6" w:fontKey="{D4AA9829-76C9-41AC-BE66-236B8C6579AF}"/>
  </w:font>
  <w:font w:name="SimHei">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RkYzdjNzExMDY4YThhNGY0YjFiNTQ1NDRkODg2ZTkifQ=="/>
  </w:docVars>
  <w:rsids>
    <w:rsidRoot w:val="723E0403"/>
    <w:rsid w:val="002158BA"/>
    <w:rsid w:val="0044694F"/>
    <w:rsid w:val="004A2346"/>
    <w:rsid w:val="005704C1"/>
    <w:rsid w:val="007D0A55"/>
    <w:rsid w:val="00CE2D0B"/>
    <w:rsid w:val="00D8333E"/>
    <w:rsid w:val="00FC43CC"/>
    <w:rsid w:val="0417426F"/>
    <w:rsid w:val="0DEE532A"/>
    <w:rsid w:val="11D34725"/>
    <w:rsid w:val="13A06E0D"/>
    <w:rsid w:val="15A66933"/>
    <w:rsid w:val="26E01966"/>
    <w:rsid w:val="2B744625"/>
    <w:rsid w:val="2C4030AB"/>
    <w:rsid w:val="2F1666A0"/>
    <w:rsid w:val="328E2276"/>
    <w:rsid w:val="395D29A2"/>
    <w:rsid w:val="3BDC606A"/>
    <w:rsid w:val="3CBF58AC"/>
    <w:rsid w:val="40144FE0"/>
    <w:rsid w:val="4A18529C"/>
    <w:rsid w:val="4EEA0D24"/>
    <w:rsid w:val="5073666B"/>
    <w:rsid w:val="558D39A8"/>
    <w:rsid w:val="560C332E"/>
    <w:rsid w:val="5D033B7E"/>
    <w:rsid w:val="61131A15"/>
    <w:rsid w:val="62CA25A7"/>
    <w:rsid w:val="630B32EB"/>
    <w:rsid w:val="6A5135AE"/>
    <w:rsid w:val="6A6964C4"/>
    <w:rsid w:val="6D875C64"/>
    <w:rsid w:val="6EDD4C06"/>
    <w:rsid w:val="71A05546"/>
    <w:rsid w:val="723E0403"/>
    <w:rsid w:val="796F11DD"/>
    <w:rsid w:val="7C4648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rPr>
      <w:rFonts w:cs="Calibri"/>
      <w:spacing w:val="-8"/>
      <w:sz w:val="32"/>
      <w:szCs w:val="21"/>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1115</Words>
  <Characters>1241</Characters>
  <Lines>9</Lines>
  <Paragraphs>2</Paragraphs>
  <TotalTime>5</TotalTime>
  <ScaleCrop>false</ScaleCrop>
  <LinksUpToDate>false</LinksUpToDate>
  <CharactersWithSpaces>1270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2025-02-18T01:26:00Z</dcterms:created>
  <dc:creator>享耳</dc:creator>
  <cp:lastModifiedBy>绿色的草地</cp:lastModifiedBy>
  <dcterms:modified xsi:type="dcterms:W3CDTF">2025-02-21T08:17:50Z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3F961C13417344E08F2C71D6F5EEE14D_13</vt:lpwstr>
  </property>
  <property fmtid="{D5CDD505-2E9C-101B-9397-08002B2CF9AE}" pid="4" name="KSOTemplateDocerSaveRecord">
    <vt:lpwstr>eyJoZGlkIjoiMWM1OTMwMmMwZmNhNDc3NmExM2U2OTdmNmNjNDJhNmQiLCJ1c2VySWQiOiI0NDg3ODk5MzUifQ==</vt:lpwstr>
  </property>
</Properties>
</file>